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7C23" w14:textId="2DE8B6EB" w:rsidR="001B2D5B" w:rsidRPr="001B2D5B" w:rsidRDefault="001B2D5B" w:rsidP="001B2D5B">
      <w:pPr>
        <w:ind w:left="3249" w:firstLine="720"/>
        <w:contextualSpacing/>
        <w:rPr>
          <w:rFonts w:asciiTheme="minorHAnsi" w:hAnsiTheme="minorHAnsi" w:cstheme="minorHAnsi"/>
          <w:b/>
          <w:bCs/>
          <w:sz w:val="28"/>
          <w:szCs w:val="28"/>
        </w:rPr>
      </w:pPr>
      <w:r w:rsidRPr="001B2D5B">
        <w:rPr>
          <w:rFonts w:asciiTheme="minorHAnsi" w:hAnsiTheme="minorHAnsi" w:cstheme="minorHAnsi"/>
          <w:noProof/>
        </w:rPr>
        <w:drawing>
          <wp:anchor distT="0" distB="0" distL="114300" distR="114300" simplePos="0" relativeHeight="251658240" behindDoc="0" locked="0" layoutInCell="1" allowOverlap="1" wp14:anchorId="10CB5B94" wp14:editId="53BE33DB">
            <wp:simplePos x="0" y="0"/>
            <wp:positionH relativeFrom="margin">
              <wp:align>left</wp:align>
            </wp:positionH>
            <wp:positionV relativeFrom="paragraph">
              <wp:posOffset>7034</wp:posOffset>
            </wp:positionV>
            <wp:extent cx="1436914" cy="843049"/>
            <wp:effectExtent l="0" t="0" r="0" b="0"/>
            <wp:wrapSquare wrapText="bothSides"/>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914" cy="843049"/>
                    </a:xfrm>
                    <a:prstGeom prst="rect">
                      <a:avLst/>
                    </a:prstGeom>
                  </pic:spPr>
                </pic:pic>
              </a:graphicData>
            </a:graphic>
            <wp14:sizeRelH relativeFrom="page">
              <wp14:pctWidth>0</wp14:pctWidth>
            </wp14:sizeRelH>
            <wp14:sizeRelV relativeFrom="page">
              <wp14:pctHeight>0</wp14:pctHeight>
            </wp14:sizeRelV>
          </wp:anchor>
        </w:drawing>
      </w:r>
    </w:p>
    <w:p w14:paraId="4A0179E7" w14:textId="7EB2D6D5" w:rsidR="001B2D5B" w:rsidRPr="001B2D5B" w:rsidRDefault="00EB458D" w:rsidP="001B2D5B">
      <w:pPr>
        <w:ind w:left="3249" w:firstLine="720"/>
        <w:contextualSpacing/>
        <w:rPr>
          <w:rFonts w:asciiTheme="minorHAnsi" w:hAnsiTheme="minorHAnsi" w:cstheme="minorHAnsi"/>
          <w:b/>
          <w:bCs/>
        </w:rPr>
      </w:pPr>
      <w:r w:rsidRPr="001B2D5B">
        <w:rPr>
          <w:rFonts w:asciiTheme="minorHAnsi" w:hAnsiTheme="minorHAnsi" w:cstheme="minorHAnsi"/>
          <w:b/>
          <w:bCs/>
          <w:sz w:val="28"/>
          <w:szCs w:val="28"/>
        </w:rPr>
        <w:t>Proposed Policy Amendment</w:t>
      </w:r>
    </w:p>
    <w:p w14:paraId="192633DB" w14:textId="55330404" w:rsidR="00EB458D" w:rsidRPr="001B2D5B" w:rsidRDefault="00344E11" w:rsidP="001B2D5B">
      <w:pPr>
        <w:spacing w:before="120" w:after="120" w:line="360" w:lineRule="auto"/>
        <w:ind w:left="4678" w:hanging="709"/>
        <w:contextualSpacing/>
        <w:rPr>
          <w:rFonts w:asciiTheme="minorHAnsi" w:hAnsiTheme="minorHAnsi" w:cstheme="minorHAnsi"/>
          <w:b/>
          <w:bCs/>
        </w:rPr>
      </w:pPr>
      <w:r>
        <w:rPr>
          <w:rFonts w:asciiTheme="minorHAnsi" w:hAnsiTheme="minorHAnsi" w:cstheme="minorHAnsi"/>
          <w:b/>
          <w:bCs/>
        </w:rPr>
        <w:t xml:space="preserve">Addition to the MRFA Payments Policy </w:t>
      </w:r>
    </w:p>
    <w:p w14:paraId="69A01253" w14:textId="77777777" w:rsidR="00EB458D" w:rsidRPr="001B2D5B" w:rsidRDefault="00EB458D" w:rsidP="00EB458D">
      <w:pPr>
        <w:spacing w:before="120" w:after="120" w:line="360" w:lineRule="auto"/>
        <w:ind w:left="709" w:hanging="709"/>
        <w:contextualSpacing/>
        <w:rPr>
          <w:rFonts w:asciiTheme="minorHAnsi" w:hAnsiTheme="minorHAnsi" w:cstheme="minorHAnsi"/>
          <w:b/>
          <w:bCs/>
        </w:rPr>
      </w:pPr>
    </w:p>
    <w:p w14:paraId="7B5A217D" w14:textId="77777777" w:rsidR="001B2D5B" w:rsidRPr="001B2D5B" w:rsidRDefault="001B2D5B" w:rsidP="00EB458D">
      <w:pPr>
        <w:spacing w:before="120" w:after="120" w:line="360" w:lineRule="auto"/>
        <w:ind w:left="709" w:hanging="709"/>
        <w:contextualSpacing/>
        <w:rPr>
          <w:rFonts w:asciiTheme="minorHAnsi" w:hAnsiTheme="minorHAnsi" w:cstheme="minorHAnsi"/>
          <w:b/>
          <w:bCs/>
        </w:rPr>
      </w:pPr>
    </w:p>
    <w:p w14:paraId="3CEBFC14" w14:textId="42D83445" w:rsidR="00EB458D" w:rsidRPr="001B2D5B" w:rsidRDefault="00EB458D" w:rsidP="00EB458D">
      <w:pPr>
        <w:spacing w:before="120" w:after="120" w:line="360" w:lineRule="auto"/>
        <w:ind w:left="709" w:hanging="709"/>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Rational: </w:t>
      </w:r>
    </w:p>
    <w:p w14:paraId="1CC87086" w14:textId="6775F725" w:rsidR="00EB458D" w:rsidRPr="001B2D5B" w:rsidRDefault="001B2D5B" w:rsidP="00EB458D">
      <w:pPr>
        <w:spacing w:before="120" w:after="120" w:line="360" w:lineRule="auto"/>
        <w:contextualSpacing/>
        <w:rPr>
          <w:rFonts w:asciiTheme="minorHAnsi" w:hAnsiTheme="minorHAnsi" w:cstheme="minorHAnsi"/>
        </w:rPr>
      </w:pPr>
      <w:r w:rsidRPr="001B2D5B">
        <w:rPr>
          <w:rFonts w:asciiTheme="minorHAnsi" w:hAnsiTheme="minorHAnsi" w:cstheme="minorHAnsi"/>
        </w:rPr>
        <w:t xml:space="preserve">The purpose of this policy is to provide a </w:t>
      </w:r>
      <w:r w:rsidR="00344E11">
        <w:rPr>
          <w:rFonts w:asciiTheme="minorHAnsi" w:hAnsiTheme="minorHAnsi" w:cstheme="minorHAnsi"/>
        </w:rPr>
        <w:t xml:space="preserve">process </w:t>
      </w:r>
      <w:r w:rsidRPr="001B2D5B">
        <w:rPr>
          <w:rFonts w:asciiTheme="minorHAnsi" w:hAnsiTheme="minorHAnsi" w:cstheme="minorHAnsi"/>
        </w:rPr>
        <w:t>for</w:t>
      </w:r>
      <w:r w:rsidR="00344E11">
        <w:rPr>
          <w:rFonts w:asciiTheme="minorHAnsi" w:hAnsiTheme="minorHAnsi" w:cstheme="minorHAnsi"/>
        </w:rPr>
        <w:t xml:space="preserve"> eligible members to apply for project-based funding through the recently amended article 8.6 of the Association’s Bylaws.</w:t>
      </w:r>
      <w:r w:rsidRPr="001B2D5B">
        <w:rPr>
          <w:rFonts w:asciiTheme="minorHAnsi" w:hAnsiTheme="minorHAnsi" w:cstheme="minorHAnsi"/>
        </w:rPr>
        <w:t xml:space="preserve"> </w:t>
      </w:r>
      <w:r w:rsidR="00EB458D" w:rsidRPr="001B2D5B">
        <w:rPr>
          <w:rFonts w:asciiTheme="minorHAnsi" w:hAnsiTheme="minorHAnsi" w:cstheme="minorHAnsi"/>
        </w:rPr>
        <w:t xml:space="preserve"> </w:t>
      </w:r>
    </w:p>
    <w:p w14:paraId="182C6AC7" w14:textId="7B091DA5" w:rsidR="00EB458D" w:rsidRPr="001B2D5B" w:rsidRDefault="00EB458D" w:rsidP="00EB458D">
      <w:pPr>
        <w:spacing w:before="120" w:after="120" w:line="360" w:lineRule="auto"/>
        <w:contextualSpacing/>
        <w:rPr>
          <w:rFonts w:asciiTheme="minorHAnsi" w:hAnsiTheme="minorHAnsi" w:cstheme="minorHAnsi"/>
        </w:rPr>
      </w:pPr>
    </w:p>
    <w:p w14:paraId="27C33C7A" w14:textId="7CB95B2A" w:rsidR="00EB458D" w:rsidRPr="001B2D5B" w:rsidRDefault="00EB458D" w:rsidP="00EB458D">
      <w:pPr>
        <w:spacing w:before="120" w:after="120" w:line="360" w:lineRule="auto"/>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Deadline for Comment: </w:t>
      </w:r>
    </w:p>
    <w:p w14:paraId="6DEB44E1" w14:textId="52AB7B28" w:rsidR="00EB458D" w:rsidRPr="001B2D5B" w:rsidRDefault="001B2D5B" w:rsidP="00EB458D">
      <w:pPr>
        <w:spacing w:before="120" w:after="120" w:line="360" w:lineRule="auto"/>
        <w:contextualSpacing/>
        <w:rPr>
          <w:rFonts w:asciiTheme="minorHAnsi" w:hAnsiTheme="minorHAnsi" w:cstheme="minorHAnsi"/>
        </w:rPr>
      </w:pPr>
      <w:r w:rsidRPr="001B2D5B">
        <w:rPr>
          <w:rFonts w:asciiTheme="minorHAnsi" w:hAnsiTheme="minorHAnsi" w:cstheme="minorHAnsi"/>
        </w:rPr>
        <w:t>June 11</w:t>
      </w:r>
      <w:r w:rsidR="00EB458D" w:rsidRPr="001B2D5B">
        <w:rPr>
          <w:rFonts w:asciiTheme="minorHAnsi" w:hAnsiTheme="minorHAnsi" w:cstheme="minorHAnsi"/>
        </w:rPr>
        <w:t xml:space="preserve"> is the deadline for comments</w:t>
      </w:r>
      <w:r w:rsidR="00556E16" w:rsidRPr="001B2D5B">
        <w:rPr>
          <w:rFonts w:asciiTheme="minorHAnsi" w:hAnsiTheme="minorHAnsi" w:cstheme="minorHAnsi"/>
        </w:rPr>
        <w:t>. T</w:t>
      </w:r>
      <w:r w:rsidR="00EB458D" w:rsidRPr="001B2D5B">
        <w:rPr>
          <w:rFonts w:asciiTheme="minorHAnsi" w:hAnsiTheme="minorHAnsi" w:cstheme="minorHAnsi"/>
        </w:rPr>
        <w:t xml:space="preserve">he Board will be reviewing comments and considering the policy for approval on </w:t>
      </w:r>
      <w:r w:rsidRPr="001B2D5B">
        <w:rPr>
          <w:rFonts w:asciiTheme="minorHAnsi" w:hAnsiTheme="minorHAnsi" w:cstheme="minorHAnsi"/>
        </w:rPr>
        <w:t>June 11</w:t>
      </w:r>
      <w:r w:rsidR="00EB458D" w:rsidRPr="001B2D5B">
        <w:rPr>
          <w:rFonts w:asciiTheme="minorHAnsi" w:hAnsiTheme="minorHAnsi" w:cstheme="minorHAnsi"/>
        </w:rPr>
        <w:t xml:space="preserve"> for implementation. </w:t>
      </w:r>
    </w:p>
    <w:p w14:paraId="1F72B895" w14:textId="77777777" w:rsidR="00EB458D" w:rsidRPr="001B2D5B" w:rsidRDefault="00EB458D" w:rsidP="00EB458D">
      <w:pPr>
        <w:spacing w:before="120" w:after="120" w:line="360" w:lineRule="auto"/>
        <w:contextualSpacing/>
        <w:rPr>
          <w:rFonts w:asciiTheme="minorHAnsi" w:hAnsiTheme="minorHAnsi" w:cstheme="minorHAnsi"/>
        </w:rPr>
      </w:pPr>
    </w:p>
    <w:p w14:paraId="1610C857" w14:textId="27A36C75" w:rsidR="00EB458D" w:rsidRPr="001B2D5B" w:rsidRDefault="00EB458D" w:rsidP="001B2D5B">
      <w:pPr>
        <w:ind w:left="709" w:hanging="709"/>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Proposed Policy: </w:t>
      </w:r>
    </w:p>
    <w:p w14:paraId="08A6959A" w14:textId="5509B583" w:rsidR="00344E11" w:rsidRPr="00344E11" w:rsidRDefault="00344E11" w:rsidP="00344E11">
      <w:pPr>
        <w:pStyle w:val="Heading2"/>
        <w:numPr>
          <w:ilvl w:val="1"/>
          <w:numId w:val="11"/>
        </w:numPr>
        <w:spacing w:before="360" w:after="120"/>
        <w:ind w:left="851"/>
        <w:rPr>
          <w:rFonts w:asciiTheme="minorHAnsi" w:hAnsiTheme="minorHAnsi" w:cstheme="minorHAnsi"/>
          <w:b w:val="0"/>
          <w:color w:val="000000" w:themeColor="text1"/>
          <w:sz w:val="21"/>
          <w:szCs w:val="21"/>
        </w:rPr>
      </w:pPr>
      <w:r w:rsidRPr="00344E11">
        <w:rPr>
          <w:rFonts w:asciiTheme="minorHAnsi" w:hAnsiTheme="minorHAnsi" w:cstheme="minorHAnsi"/>
          <w:b w:val="0"/>
          <w:color w:val="000000" w:themeColor="text1"/>
          <w:sz w:val="21"/>
          <w:szCs w:val="21"/>
        </w:rPr>
        <w:t xml:space="preserve">Project-Based Funding Policy </w:t>
      </w:r>
      <w:r w:rsidRPr="00344E11">
        <w:rPr>
          <w:rFonts w:asciiTheme="minorHAnsi" w:hAnsiTheme="minorHAnsi" w:cstheme="minorHAnsi"/>
          <w:b w:val="0"/>
          <w:color w:val="000000" w:themeColor="text1"/>
          <w:sz w:val="21"/>
          <w:szCs w:val="21"/>
        </w:rPr>
        <w:tab/>
      </w:r>
    </w:p>
    <w:p w14:paraId="79C5F442" w14:textId="77777777" w:rsidR="00344E11" w:rsidRPr="00344E11" w:rsidRDefault="00344E11" w:rsidP="00344E11">
      <w:pPr>
        <w:ind w:left="930"/>
        <w:rPr>
          <w:rFonts w:asciiTheme="minorHAnsi" w:hAnsiTheme="minorHAnsi" w:cstheme="minorHAnsi"/>
        </w:rPr>
      </w:pPr>
      <w:r w:rsidRPr="00344E11">
        <w:rPr>
          <w:rFonts w:asciiTheme="minorHAnsi" w:hAnsiTheme="minorHAnsi" w:cstheme="minorHAnsi"/>
        </w:rPr>
        <w:t xml:space="preserve">Members of the Executive Board, other than the President, may apply for project-based funding for work taken on that exceeds the expectations of the role as detailed in the Association’s Bylaws. </w:t>
      </w:r>
    </w:p>
    <w:p w14:paraId="3A387479" w14:textId="77777777" w:rsidR="00344E11" w:rsidRPr="00344E11" w:rsidRDefault="00344E11" w:rsidP="00344E11">
      <w:pPr>
        <w:pStyle w:val="ListParagraph"/>
        <w:numPr>
          <w:ilvl w:val="0"/>
          <w:numId w:val="12"/>
        </w:numPr>
        <w:ind w:left="1560"/>
        <w:rPr>
          <w:rFonts w:asciiTheme="minorHAnsi" w:hAnsiTheme="minorHAnsi" w:cstheme="minorHAnsi"/>
        </w:rPr>
      </w:pPr>
      <w:r w:rsidRPr="00344E11">
        <w:rPr>
          <w:rFonts w:asciiTheme="minorHAnsi" w:hAnsiTheme="minorHAnsi" w:cstheme="minorHAnsi"/>
        </w:rPr>
        <w:t xml:space="preserve">Applications are to be submitted via this </w:t>
      </w:r>
      <w:hyperlink r:id="rId6" w:history="1">
        <w:r w:rsidRPr="00344E11">
          <w:rPr>
            <w:rStyle w:val="Hyperlink"/>
            <w:rFonts w:asciiTheme="minorHAnsi" w:hAnsiTheme="minorHAnsi" w:cstheme="minorHAnsi"/>
          </w:rPr>
          <w:t>for</w:t>
        </w:r>
        <w:r w:rsidRPr="00344E11">
          <w:rPr>
            <w:rStyle w:val="Hyperlink"/>
            <w:rFonts w:asciiTheme="minorHAnsi" w:hAnsiTheme="minorHAnsi" w:cstheme="minorHAnsi"/>
          </w:rPr>
          <w:t>m</w:t>
        </w:r>
      </w:hyperlink>
    </w:p>
    <w:p w14:paraId="22D92066" w14:textId="77777777" w:rsidR="00344E11" w:rsidRPr="00344E11" w:rsidRDefault="00344E11" w:rsidP="00344E11">
      <w:pPr>
        <w:pStyle w:val="ListParagraph"/>
        <w:numPr>
          <w:ilvl w:val="0"/>
          <w:numId w:val="12"/>
        </w:numPr>
        <w:ind w:left="1560"/>
        <w:rPr>
          <w:rFonts w:asciiTheme="minorHAnsi" w:hAnsiTheme="minorHAnsi" w:cstheme="minorHAnsi"/>
        </w:rPr>
      </w:pPr>
      <w:r w:rsidRPr="00344E11">
        <w:rPr>
          <w:rFonts w:asciiTheme="minorHAnsi" w:hAnsiTheme="minorHAnsi" w:cstheme="minorHAnsi"/>
        </w:rPr>
        <w:t xml:space="preserve">The Audit and Finance Committee shall review applications within 15 business days, and, where applicable, additional information may be sought by the Audit and Finance Committee. </w:t>
      </w:r>
    </w:p>
    <w:p w14:paraId="262F6F2C" w14:textId="1914EA54" w:rsidR="00344E11" w:rsidRPr="00344E11" w:rsidRDefault="00344E11" w:rsidP="00344E11">
      <w:pPr>
        <w:pStyle w:val="ListParagraph"/>
        <w:numPr>
          <w:ilvl w:val="0"/>
          <w:numId w:val="12"/>
        </w:numPr>
        <w:ind w:left="1560"/>
        <w:rPr>
          <w:rFonts w:asciiTheme="minorHAnsi" w:hAnsiTheme="minorHAnsi" w:cstheme="minorHAnsi"/>
        </w:rPr>
      </w:pPr>
      <w:r w:rsidRPr="00344E11">
        <w:rPr>
          <w:rFonts w:asciiTheme="minorHAnsi" w:hAnsiTheme="minorHAnsi" w:cstheme="minorHAnsi"/>
        </w:rPr>
        <w:t>Within 10 days, the Committee shall convey its decision to the applicant in writing along with the amount of SICH based funding to be provided, where applicable. All funding shall be done in increments of 16 SICH at the applicant’s applicable contract faculty grid step.</w:t>
      </w:r>
    </w:p>
    <w:p w14:paraId="04C8BC49" w14:textId="77777777" w:rsidR="00344E11" w:rsidRPr="00344E11" w:rsidRDefault="00344E11" w:rsidP="00344E11">
      <w:pPr>
        <w:pStyle w:val="ListParagraph"/>
        <w:numPr>
          <w:ilvl w:val="0"/>
          <w:numId w:val="12"/>
        </w:numPr>
        <w:ind w:left="1560"/>
        <w:rPr>
          <w:rFonts w:asciiTheme="minorHAnsi" w:hAnsiTheme="minorHAnsi" w:cstheme="minorHAnsi"/>
        </w:rPr>
      </w:pPr>
      <w:r w:rsidRPr="00344E11">
        <w:rPr>
          <w:rFonts w:asciiTheme="minorHAnsi" w:hAnsiTheme="minorHAnsi" w:cstheme="minorHAnsi"/>
        </w:rPr>
        <w:t xml:space="preserve">Should an applicant like to appeal a decision of the Audit and Finance Committee they may follow the process outlined in the Association’s Funding Appeals Policy. </w:t>
      </w:r>
    </w:p>
    <w:sectPr w:rsidR="00344E11" w:rsidRPr="00344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E7C"/>
    <w:multiLevelType w:val="hybridMultilevel"/>
    <w:tmpl w:val="B64E7638"/>
    <w:lvl w:ilvl="0" w:tplc="10090001">
      <w:start w:val="1"/>
      <w:numFmt w:val="bullet"/>
      <w:lvlText w:val=""/>
      <w:lvlJc w:val="left"/>
      <w:pPr>
        <w:ind w:left="1650" w:hanging="360"/>
      </w:pPr>
      <w:rPr>
        <w:rFonts w:ascii="Symbol" w:hAnsi="Symbol" w:hint="default"/>
      </w:rPr>
    </w:lvl>
    <w:lvl w:ilvl="1" w:tplc="10090003">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 w15:restartNumberingAfterBreak="0">
    <w:nsid w:val="27436ACB"/>
    <w:multiLevelType w:val="multilevel"/>
    <w:tmpl w:val="92B0D2E0"/>
    <w:lvl w:ilvl="0">
      <w:start w:val="10"/>
      <w:numFmt w:val="decimal"/>
      <w:lvlText w:val="%1"/>
      <w:lvlJc w:val="left"/>
      <w:pPr>
        <w:ind w:left="525" w:hanging="525"/>
      </w:pPr>
      <w:rPr>
        <w:rFonts w:hint="default"/>
      </w:rPr>
    </w:lvl>
    <w:lvl w:ilvl="1">
      <w:start w:val="4"/>
      <w:numFmt w:val="decimal"/>
      <w:lvlText w:val="%1.%2"/>
      <w:lvlJc w:val="left"/>
      <w:pPr>
        <w:ind w:left="1354" w:hanging="720"/>
      </w:pPr>
      <w:rPr>
        <w:rFonts w:hint="default"/>
      </w:rPr>
    </w:lvl>
    <w:lvl w:ilvl="2">
      <w:start w:val="1"/>
      <w:numFmt w:val="decimal"/>
      <w:lvlText w:val="%1.%2.%3"/>
      <w:lvlJc w:val="left"/>
      <w:pPr>
        <w:ind w:left="1988" w:hanging="720"/>
      </w:pPr>
      <w:rPr>
        <w:rFonts w:hint="default"/>
      </w:rPr>
    </w:lvl>
    <w:lvl w:ilvl="3">
      <w:start w:val="1"/>
      <w:numFmt w:val="lowerLetter"/>
      <w:lvlText w:val="%4)"/>
      <w:lvlJc w:val="left"/>
      <w:pPr>
        <w:ind w:left="2982" w:hanging="1080"/>
      </w:pPr>
      <w:rPr>
        <w:rFonts w:ascii="Bookman Old Style" w:eastAsia="Times New Roman" w:hAnsi="Bookman Old Style" w:cs="Times New Roman"/>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604" w:hanging="180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7232" w:hanging="2160"/>
      </w:pPr>
      <w:rPr>
        <w:rFonts w:hint="default"/>
      </w:rPr>
    </w:lvl>
  </w:abstractNum>
  <w:abstractNum w:abstractNumId="2" w15:restartNumberingAfterBreak="0">
    <w:nsid w:val="462C42C1"/>
    <w:multiLevelType w:val="hybridMultilevel"/>
    <w:tmpl w:val="74985AE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F319C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A6D76B6"/>
    <w:multiLevelType w:val="multilevel"/>
    <w:tmpl w:val="2864E9BE"/>
    <w:lvl w:ilvl="0">
      <w:start w:val="15"/>
      <w:numFmt w:val="decimal"/>
      <w:lvlText w:val="%1."/>
      <w:lvlJc w:val="left"/>
      <w:pPr>
        <w:ind w:left="765" w:hanging="405"/>
      </w:pPr>
      <w:rPr>
        <w:rFonts w:hint="default"/>
      </w:rPr>
    </w:lvl>
    <w:lvl w:ilvl="1">
      <w:start w:val="1"/>
      <w:numFmt w:val="decimal"/>
      <w:isLgl/>
      <w:lvlText w:val="%1.%2"/>
      <w:lvlJc w:val="left"/>
      <w:pPr>
        <w:ind w:left="111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5" w15:restartNumberingAfterBreak="0">
    <w:nsid w:val="4CA04AB0"/>
    <w:multiLevelType w:val="multilevel"/>
    <w:tmpl w:val="72A6A72E"/>
    <w:lvl w:ilvl="0">
      <w:start w:val="15"/>
      <w:numFmt w:val="decimal"/>
      <w:lvlText w:val="%1."/>
      <w:lvlJc w:val="left"/>
      <w:pPr>
        <w:ind w:left="765" w:hanging="405"/>
      </w:pPr>
      <w:rPr>
        <w:rFonts w:hint="default"/>
      </w:rPr>
    </w:lvl>
    <w:lvl w:ilvl="1">
      <w:start w:val="1"/>
      <w:numFmt w:val="decimal"/>
      <w:isLgl/>
      <w:lvlText w:val="%1.%2"/>
      <w:lvlJc w:val="left"/>
      <w:pPr>
        <w:ind w:left="111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6" w15:restartNumberingAfterBreak="0">
    <w:nsid w:val="4F0C5316"/>
    <w:multiLevelType w:val="hybridMultilevel"/>
    <w:tmpl w:val="8C1E0432"/>
    <w:lvl w:ilvl="0" w:tplc="10090017">
      <w:start w:val="1"/>
      <w:numFmt w:val="lowerLetter"/>
      <w:lvlText w:val="%1)"/>
      <w:lvlJc w:val="left"/>
      <w:pPr>
        <w:ind w:left="2708" w:hanging="360"/>
      </w:pPr>
    </w:lvl>
    <w:lvl w:ilvl="1" w:tplc="10090019" w:tentative="1">
      <w:start w:val="1"/>
      <w:numFmt w:val="lowerLetter"/>
      <w:lvlText w:val="%2."/>
      <w:lvlJc w:val="left"/>
      <w:pPr>
        <w:ind w:left="3428" w:hanging="360"/>
      </w:pPr>
    </w:lvl>
    <w:lvl w:ilvl="2" w:tplc="1009001B" w:tentative="1">
      <w:start w:val="1"/>
      <w:numFmt w:val="lowerRoman"/>
      <w:lvlText w:val="%3."/>
      <w:lvlJc w:val="right"/>
      <w:pPr>
        <w:ind w:left="4148" w:hanging="180"/>
      </w:pPr>
    </w:lvl>
    <w:lvl w:ilvl="3" w:tplc="1009000F" w:tentative="1">
      <w:start w:val="1"/>
      <w:numFmt w:val="decimal"/>
      <w:lvlText w:val="%4."/>
      <w:lvlJc w:val="left"/>
      <w:pPr>
        <w:ind w:left="4868" w:hanging="360"/>
      </w:pPr>
    </w:lvl>
    <w:lvl w:ilvl="4" w:tplc="10090019" w:tentative="1">
      <w:start w:val="1"/>
      <w:numFmt w:val="lowerLetter"/>
      <w:lvlText w:val="%5."/>
      <w:lvlJc w:val="left"/>
      <w:pPr>
        <w:ind w:left="5588" w:hanging="360"/>
      </w:pPr>
    </w:lvl>
    <w:lvl w:ilvl="5" w:tplc="1009001B" w:tentative="1">
      <w:start w:val="1"/>
      <w:numFmt w:val="lowerRoman"/>
      <w:lvlText w:val="%6."/>
      <w:lvlJc w:val="right"/>
      <w:pPr>
        <w:ind w:left="6308" w:hanging="180"/>
      </w:pPr>
    </w:lvl>
    <w:lvl w:ilvl="6" w:tplc="1009000F" w:tentative="1">
      <w:start w:val="1"/>
      <w:numFmt w:val="decimal"/>
      <w:lvlText w:val="%7."/>
      <w:lvlJc w:val="left"/>
      <w:pPr>
        <w:ind w:left="7028" w:hanging="360"/>
      </w:pPr>
    </w:lvl>
    <w:lvl w:ilvl="7" w:tplc="10090019" w:tentative="1">
      <w:start w:val="1"/>
      <w:numFmt w:val="lowerLetter"/>
      <w:lvlText w:val="%8."/>
      <w:lvlJc w:val="left"/>
      <w:pPr>
        <w:ind w:left="7748" w:hanging="360"/>
      </w:pPr>
    </w:lvl>
    <w:lvl w:ilvl="8" w:tplc="1009001B" w:tentative="1">
      <w:start w:val="1"/>
      <w:numFmt w:val="lowerRoman"/>
      <w:lvlText w:val="%9."/>
      <w:lvlJc w:val="right"/>
      <w:pPr>
        <w:ind w:left="8468" w:hanging="180"/>
      </w:pPr>
    </w:lvl>
  </w:abstractNum>
  <w:abstractNum w:abstractNumId="7" w15:restartNumberingAfterBreak="0">
    <w:nsid w:val="5572361D"/>
    <w:multiLevelType w:val="hybridMultilevel"/>
    <w:tmpl w:val="684A7668"/>
    <w:lvl w:ilvl="0" w:tplc="10090017">
      <w:start w:val="1"/>
      <w:numFmt w:val="lowerLetter"/>
      <w:lvlText w:val="%1)"/>
      <w:lvlJc w:val="left"/>
      <w:pPr>
        <w:ind w:left="2880" w:hanging="360"/>
      </w:pPr>
    </w:lvl>
    <w:lvl w:ilvl="1" w:tplc="10090001">
      <w:start w:val="1"/>
      <w:numFmt w:val="bullet"/>
      <w:lvlText w:val=""/>
      <w:lvlJc w:val="left"/>
      <w:pPr>
        <w:ind w:left="3600" w:hanging="360"/>
      </w:pPr>
      <w:rPr>
        <w:rFonts w:ascii="Symbol" w:hAnsi="Symbol" w:hint="default"/>
      </w:r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15:restartNumberingAfterBreak="0">
    <w:nsid w:val="5AC2203B"/>
    <w:multiLevelType w:val="multilevel"/>
    <w:tmpl w:val="6BB0D5BC"/>
    <w:lvl w:ilvl="0">
      <w:start w:val="11"/>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6872" w:hanging="1800"/>
      </w:pPr>
      <w:rPr>
        <w:rFonts w:hint="default"/>
      </w:rPr>
    </w:lvl>
  </w:abstractNum>
  <w:abstractNum w:abstractNumId="9" w15:restartNumberingAfterBreak="0">
    <w:nsid w:val="5E6B734E"/>
    <w:multiLevelType w:val="hybridMultilevel"/>
    <w:tmpl w:val="A2F65D12"/>
    <w:lvl w:ilvl="0" w:tplc="10090017">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15:restartNumberingAfterBreak="0">
    <w:nsid w:val="63C37256"/>
    <w:multiLevelType w:val="multilevel"/>
    <w:tmpl w:val="C19C0CF6"/>
    <w:lvl w:ilvl="0">
      <w:start w:val="17"/>
      <w:numFmt w:val="decimal"/>
      <w:lvlText w:val="%1"/>
      <w:lvlJc w:val="left"/>
      <w:pPr>
        <w:ind w:left="480" w:hanging="480"/>
      </w:pPr>
      <w:rPr>
        <w:rFonts w:hint="default"/>
        <w:color w:val="auto"/>
      </w:rPr>
    </w:lvl>
    <w:lvl w:ilvl="1">
      <w:start w:val="1"/>
      <w:numFmt w:val="decimal"/>
      <w:lvlText w:val="%1.%2"/>
      <w:lvlJc w:val="left"/>
      <w:pPr>
        <w:ind w:left="930" w:hanging="480"/>
      </w:pPr>
      <w:rPr>
        <w:rFonts w:hint="default"/>
        <w:b w:val="0"/>
        <w:color w:val="auto"/>
      </w:rPr>
    </w:lvl>
    <w:lvl w:ilvl="2">
      <w:start w:val="1"/>
      <w:numFmt w:val="decimal"/>
      <w:lvlText w:val="%1.%2.%3"/>
      <w:lvlJc w:val="left"/>
      <w:pPr>
        <w:ind w:left="1988" w:hanging="720"/>
      </w:pPr>
      <w:rPr>
        <w:rFonts w:hint="default"/>
        <w:color w:val="auto"/>
      </w:rPr>
    </w:lvl>
    <w:lvl w:ilvl="3">
      <w:start w:val="1"/>
      <w:numFmt w:val="decimal"/>
      <w:lvlText w:val="%1.%2.%3.%4"/>
      <w:lvlJc w:val="left"/>
      <w:pPr>
        <w:ind w:left="2622" w:hanging="720"/>
      </w:pPr>
      <w:rPr>
        <w:rFonts w:hint="default"/>
        <w:color w:val="auto"/>
      </w:rPr>
    </w:lvl>
    <w:lvl w:ilvl="4">
      <w:start w:val="1"/>
      <w:numFmt w:val="decimal"/>
      <w:lvlText w:val="%1.%2.%3.%4.%5"/>
      <w:lvlJc w:val="left"/>
      <w:pPr>
        <w:ind w:left="3616" w:hanging="1080"/>
      </w:pPr>
      <w:rPr>
        <w:rFonts w:hint="default"/>
        <w:color w:val="auto"/>
      </w:rPr>
    </w:lvl>
    <w:lvl w:ilvl="5">
      <w:start w:val="1"/>
      <w:numFmt w:val="decimal"/>
      <w:lvlText w:val="%1.%2.%3.%4.%5.%6"/>
      <w:lvlJc w:val="left"/>
      <w:pPr>
        <w:ind w:left="4610" w:hanging="1440"/>
      </w:pPr>
      <w:rPr>
        <w:rFonts w:hint="default"/>
        <w:color w:val="auto"/>
      </w:rPr>
    </w:lvl>
    <w:lvl w:ilvl="6">
      <w:start w:val="1"/>
      <w:numFmt w:val="decimal"/>
      <w:lvlText w:val="%1.%2.%3.%4.%5.%6.%7"/>
      <w:lvlJc w:val="left"/>
      <w:pPr>
        <w:ind w:left="5244" w:hanging="1440"/>
      </w:pPr>
      <w:rPr>
        <w:rFonts w:hint="default"/>
        <w:color w:val="auto"/>
      </w:rPr>
    </w:lvl>
    <w:lvl w:ilvl="7">
      <w:start w:val="1"/>
      <w:numFmt w:val="decimal"/>
      <w:lvlText w:val="%1.%2.%3.%4.%5.%6.%7.%8"/>
      <w:lvlJc w:val="left"/>
      <w:pPr>
        <w:ind w:left="6238" w:hanging="1800"/>
      </w:pPr>
      <w:rPr>
        <w:rFonts w:hint="default"/>
        <w:color w:val="auto"/>
      </w:rPr>
    </w:lvl>
    <w:lvl w:ilvl="8">
      <w:start w:val="1"/>
      <w:numFmt w:val="decimal"/>
      <w:lvlText w:val="%1.%2.%3.%4.%5.%6.%7.%8.%9"/>
      <w:lvlJc w:val="left"/>
      <w:pPr>
        <w:ind w:left="6872" w:hanging="1800"/>
      </w:pPr>
      <w:rPr>
        <w:rFonts w:hint="default"/>
        <w:color w:val="auto"/>
      </w:rPr>
    </w:lvl>
  </w:abstractNum>
  <w:abstractNum w:abstractNumId="11" w15:restartNumberingAfterBreak="0">
    <w:nsid w:val="708443C4"/>
    <w:multiLevelType w:val="multilevel"/>
    <w:tmpl w:val="F24044E4"/>
    <w:lvl w:ilvl="0">
      <w:start w:val="18"/>
      <w:numFmt w:val="decimal"/>
      <w:lvlText w:val="%1"/>
      <w:lvlJc w:val="left"/>
      <w:pPr>
        <w:ind w:left="570" w:hanging="57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num w:numId="1">
    <w:abstractNumId w:val="3"/>
  </w:num>
  <w:num w:numId="2">
    <w:abstractNumId w:val="8"/>
  </w:num>
  <w:num w:numId="3">
    <w:abstractNumId w:val="5"/>
  </w:num>
  <w:num w:numId="4">
    <w:abstractNumId w:val="1"/>
  </w:num>
  <w:num w:numId="5">
    <w:abstractNumId w:val="9"/>
  </w:num>
  <w:num w:numId="6">
    <w:abstractNumId w:val="6"/>
  </w:num>
  <w:num w:numId="7">
    <w:abstractNumId w:val="7"/>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8D"/>
    <w:rsid w:val="001B2D5B"/>
    <w:rsid w:val="00302F5A"/>
    <w:rsid w:val="00344E11"/>
    <w:rsid w:val="00556E16"/>
    <w:rsid w:val="00EB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BCD"/>
  <w15:chartTrackingRefBased/>
  <w15:docId w15:val="{86E3E231-A7A5-4215-8744-1EB0113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8D"/>
    <w:pPr>
      <w:spacing w:after="0" w:line="240" w:lineRule="auto"/>
    </w:pPr>
    <w:rPr>
      <w:rFonts w:ascii="Bookman Old Style" w:eastAsia="Times New Roman" w:hAnsi="Bookman Old Style" w:cs="Times New Roman"/>
      <w:sz w:val="21"/>
      <w:szCs w:val="21"/>
      <w:lang w:val="en-GB"/>
    </w:rPr>
  </w:style>
  <w:style w:type="paragraph" w:styleId="Heading1">
    <w:name w:val="heading 1"/>
    <w:basedOn w:val="Normal"/>
    <w:next w:val="Normal"/>
    <w:link w:val="Heading1Char"/>
    <w:qFormat/>
    <w:rsid w:val="00EB458D"/>
    <w:pPr>
      <w:numPr>
        <w:numId w:val="1"/>
      </w:numPr>
      <w:jc w:val="center"/>
      <w:outlineLvl w:val="0"/>
    </w:pPr>
    <w:rPr>
      <w:b/>
      <w:sz w:val="24"/>
      <w:szCs w:val="22"/>
    </w:rPr>
  </w:style>
  <w:style w:type="paragraph" w:styleId="Heading2">
    <w:name w:val="heading 2"/>
    <w:basedOn w:val="Normal"/>
    <w:next w:val="Normal"/>
    <w:link w:val="Heading2Char"/>
    <w:uiPriority w:val="9"/>
    <w:unhideWhenUsed/>
    <w:qFormat/>
    <w:rsid w:val="00EB458D"/>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B458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458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458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45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45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458D"/>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EB458D"/>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58D"/>
    <w:rPr>
      <w:rFonts w:ascii="Bookman Old Style" w:eastAsia="Times New Roman" w:hAnsi="Bookman Old Style" w:cs="Times New Roman"/>
      <w:b/>
      <w:sz w:val="24"/>
      <w:lang w:val="en-GB"/>
    </w:rPr>
  </w:style>
  <w:style w:type="character" w:customStyle="1" w:styleId="Heading2Char">
    <w:name w:val="Heading 2 Char"/>
    <w:basedOn w:val="DefaultParagraphFont"/>
    <w:link w:val="Heading2"/>
    <w:uiPriority w:val="9"/>
    <w:rsid w:val="00EB458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EB458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EB458D"/>
    <w:rPr>
      <w:rFonts w:asciiTheme="majorHAnsi" w:eastAsiaTheme="majorEastAsia" w:hAnsiTheme="majorHAnsi" w:cstheme="majorBidi"/>
      <w:i/>
      <w:iCs/>
      <w:color w:val="2F5496" w:themeColor="accent1" w:themeShade="BF"/>
      <w:sz w:val="21"/>
      <w:szCs w:val="21"/>
      <w:lang w:val="en-GB"/>
    </w:rPr>
  </w:style>
  <w:style w:type="character" w:customStyle="1" w:styleId="Heading5Char">
    <w:name w:val="Heading 5 Char"/>
    <w:basedOn w:val="DefaultParagraphFont"/>
    <w:link w:val="Heading5"/>
    <w:uiPriority w:val="9"/>
    <w:semiHidden/>
    <w:rsid w:val="00EB458D"/>
    <w:rPr>
      <w:rFonts w:asciiTheme="majorHAnsi" w:eastAsiaTheme="majorEastAsia" w:hAnsiTheme="majorHAnsi" w:cstheme="majorBidi"/>
      <w:color w:val="2F5496" w:themeColor="accent1" w:themeShade="BF"/>
      <w:sz w:val="21"/>
      <w:szCs w:val="21"/>
      <w:lang w:val="en-GB"/>
    </w:rPr>
  </w:style>
  <w:style w:type="character" w:customStyle="1" w:styleId="Heading6Char">
    <w:name w:val="Heading 6 Char"/>
    <w:basedOn w:val="DefaultParagraphFont"/>
    <w:link w:val="Heading6"/>
    <w:uiPriority w:val="9"/>
    <w:semiHidden/>
    <w:rsid w:val="00EB458D"/>
    <w:rPr>
      <w:rFonts w:asciiTheme="majorHAnsi" w:eastAsiaTheme="majorEastAsia" w:hAnsiTheme="majorHAnsi" w:cstheme="majorBidi"/>
      <w:color w:val="1F3763" w:themeColor="accent1" w:themeShade="7F"/>
      <w:sz w:val="21"/>
      <w:szCs w:val="21"/>
      <w:lang w:val="en-GB"/>
    </w:rPr>
  </w:style>
  <w:style w:type="character" w:customStyle="1" w:styleId="Heading7Char">
    <w:name w:val="Heading 7 Char"/>
    <w:basedOn w:val="DefaultParagraphFont"/>
    <w:link w:val="Heading7"/>
    <w:uiPriority w:val="9"/>
    <w:semiHidden/>
    <w:rsid w:val="00EB458D"/>
    <w:rPr>
      <w:rFonts w:asciiTheme="majorHAnsi" w:eastAsiaTheme="majorEastAsia" w:hAnsiTheme="majorHAnsi" w:cstheme="majorBidi"/>
      <w:i/>
      <w:iCs/>
      <w:color w:val="1F3763" w:themeColor="accent1" w:themeShade="7F"/>
      <w:sz w:val="21"/>
      <w:szCs w:val="21"/>
      <w:lang w:val="en-GB"/>
    </w:rPr>
  </w:style>
  <w:style w:type="character" w:customStyle="1" w:styleId="Heading8Char">
    <w:name w:val="Heading 8 Char"/>
    <w:basedOn w:val="DefaultParagraphFont"/>
    <w:link w:val="Heading8"/>
    <w:uiPriority w:val="9"/>
    <w:semiHidden/>
    <w:rsid w:val="00EB458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B458D"/>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EB458D"/>
    <w:pPr>
      <w:ind w:left="720"/>
    </w:pPr>
  </w:style>
  <w:style w:type="character" w:styleId="Hyperlink">
    <w:name w:val="Hyperlink"/>
    <w:basedOn w:val="DefaultParagraphFont"/>
    <w:uiPriority w:val="99"/>
    <w:unhideWhenUsed/>
    <w:rsid w:val="001B2D5B"/>
    <w:rPr>
      <w:color w:val="0563C1" w:themeColor="hyperlink"/>
      <w:u w:val="single"/>
    </w:rPr>
  </w:style>
  <w:style w:type="character" w:styleId="FollowedHyperlink">
    <w:name w:val="FollowedHyperlink"/>
    <w:basedOn w:val="DefaultParagraphFont"/>
    <w:uiPriority w:val="99"/>
    <w:semiHidden/>
    <w:unhideWhenUsed/>
    <w:rsid w:val="00344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h6NnyvsQc4tKaHb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Anderson</dc:creator>
  <cp:keywords/>
  <dc:description/>
  <cp:lastModifiedBy>Chantelle Anderson</cp:lastModifiedBy>
  <cp:revision>4</cp:revision>
  <dcterms:created xsi:type="dcterms:W3CDTF">2021-04-12T15:35:00Z</dcterms:created>
  <dcterms:modified xsi:type="dcterms:W3CDTF">2021-05-12T14:21:00Z</dcterms:modified>
</cp:coreProperties>
</file>